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E" w:rsidRPr="007D078E" w:rsidRDefault="004615AB" w:rsidP="007D07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4615A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Прокуратура напоминает: </w:t>
      </w:r>
    </w:p>
    <w:p w:rsidR="004615AB" w:rsidRPr="004615AB" w:rsidRDefault="004615AB" w:rsidP="007D07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4615A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несоблюдение установленных законодательством требований к проведению массовых мероприятий влечет ответственность</w:t>
      </w:r>
    </w:p>
    <w:p w:rsidR="004615AB" w:rsidRPr="007D078E" w:rsidRDefault="004615AB" w:rsidP="007D078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D07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Законом Республики Беларусь «О массовых мероприятиях в Республике Беларусь» четко определен порядок проведения собраний, митингов, уличных шествий, демонстраций и пикетирования. Любое несоблюдение установленных законодательством требований к их проведению влечет ответственность.</w:t>
      </w:r>
    </w:p>
    <w:p w:rsidR="007D078E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Участники массовых мероприятий обязаны соблюдать общественный порядок и выполнять все законные требования организаторов, сотрудников милиции и представителей общественности, выполняющих обязанности по охране общественного порядка.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Организаторам и участникам мероприятия запрещается препятствовать движению транспортных средств и пешеходов, создавать помехи для бесперебойной работы организаций, воздействовать в какой бы то ни было форме на сотрудников милиции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Неприятности могут возникнуть за использование флагов, вымпелов, не зарегистрированных в установленном порядке, а также эмблем, символов, плакатов и транспарантов, содержание которых направлено на причинение ущерба общественному порядку, правам и законным интересам граждан; за совершение любых действий, нарушающих установленный порядок организации и проведения массового мероприятия, а также подстрекательство к таким действиям любыми методами.</w:t>
      </w:r>
      <w:proofErr w:type="gramEnd"/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Нарушение порядка организации и проведения массовых мероприятий может повлечь как административную, так и уголовную ответственность.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В частности, санкции ст. 24.23 </w:t>
      </w:r>
      <w:proofErr w:type="spellStart"/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КоАП</w:t>
      </w:r>
      <w:proofErr w:type="spellEnd"/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Республики Беларусь, введенного в действие с 01.03.2021 (нарушение порядка организации или проведения массовых мероприятий) предусматривают для граждан штраф до 200 базовых величин или административный арест, для юридических лиц, организовавших мероприятие, сопровождающееся выплатой вознаграждения за участие в нем - штраф до 500 базовых величин.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Кроме того, за неповиновение законному распоряжению или требованию должностного лица государственного органа (организации) при исполнении им служебных полномочий лицом, не подчиненным ему по службе (ст. 24.3 </w:t>
      </w:r>
      <w:proofErr w:type="spellStart"/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КоАП</w:t>
      </w:r>
      <w:proofErr w:type="spellEnd"/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), предусмотрен штраф от 2 до 100 базовых величин или административный арест.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Если нарушение порядка организации или проведения массовых мероприятий повлекло по неосторожности гибель людей, причинение тяжкого телесного повреждения одному или нескольким лицам или </w:t>
      </w: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причинение ущерба в крупном размере, наступает уже уголовная ответственность. Санкция ст.369-3 УК (нарушение порядка организации или проведения массовых мероприятий) предусматривает арест, ограничение свободы на срок до трех лет или лишение свободы на тот же срок.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Уголовная ответственность за организацию массовых беспорядков, участие либо подготовку к ним предусмотрена ст.293 УК. Указанные общественно опасные деяния наказываются  лишением свободы на срок до 15 лет.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Организация и подготовка действий, грубо нарушающих общественный порядок, либо активное участие в них при отсутствии признаков преступления, предусмотренных ст. 293 УК, влечет ответственность по ст. 342 УК (организация и подготовка действий, грубо нарушающих общественный порядок, либо активное участие в них), </w:t>
      </w:r>
      <w:proofErr w:type="gramStart"/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санкция</w:t>
      </w:r>
      <w:proofErr w:type="gramEnd"/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которой предусматривает наказание в виде лишения свободы на срок до 2 лет.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Кроме уголовной и административной ответственности законом установлено, что всякий, кто причинил вред гражданам и организациям во время проведения массовых мероприятий, обязан его возместить.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D07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Отдельно следует остановиться на необходимости соблюдения требований законодательства при использовании Интернет-ресурсов.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Так, размещаемые в интернете угрозы, оскорбления в адрес государственных служащих, членов избирательных комиссий  в связи с осуществлением ими должностных и служебных обязанностей, а также в адрес их семей, подпадают под уголовную ответственность.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частности, согласно ч.1 ст. 366 УК  Республики Беларусь угроза насилием, уничтожением или повреждением имущества в отношении должностного лица, выполняющего служебные обязанности, или иного лица, выполняющего общественный долг по охране общественного порядка или пресечению правонарушений, или их близких в целях воспрепятствования законной деятельности или принуждения к изменению характера этой деятельности либо из мести за выполнение</w:t>
      </w:r>
      <w:proofErr w:type="gramEnd"/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служебных обязанностей или общественного</w:t>
      </w:r>
      <w:proofErr w:type="gramEnd"/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долга наказываются штрафом, или исправительными работами на срок до двух лет, или арестом, или ограничением свободы на срок до пяти лет, или лишением свободы на срок до пяти лет.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Уголовно-наказуемым деянием также является принуждение лица к выполнению или невыполнению какого-либо действия, совершенное под угрозой применения насилия к нему или его близким, уничтожения или повреждения их имущества, распространения клеветнических или оглашения иных сведений, которые они желают сохранить в тайне, либо под угрозой ущемления прав, свобод и законных интересов этих лиц, при отсутствии признаков более тяжкого преступления. Санкция статьи 185 УК Республики Беларусь предусматривает максимальное наказание до 2 лет ограничения свободы.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За размещенные в «глобальной паутине» клевету и оскорбления статьи 188, 189 УК Республики Беларусь предусматривают наказание вплоть до 3 лет ограничения свободы.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последнее время различные интернет-ресурсы настойчиво разъясняю гражданам Республики Беларусь о наличии у них права на свободное волеизъявление своих политических взглядов, а требование властей соблюдения при организации и проведении массовых мероприятий действующих норм законодательства рассматриваются, как подавление воли граждан и нарушение демократических норм.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При этом организаторы и участники массовых мероприятий прикрываются Конституцией Республики Беларусь, гарантирующей каждому гражданину свободу мнений, убеждений и их свободное выражение.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Однако, как часто бывает, к выбору норм законодательного акта интернет-ресурсы, граждане подходят избирательно, отметая содержащиеся в нем иные нормы, создающие для них неудобства, и приводя неполные тексты законодательных норм.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Так, статья 35 Конституции предусматривает, что государством гарантируется свобода собраний, митингов, уличных шествий, демонстраций и пикетирования, не нарушающих правопорядок и права других граждан Республики Беларусь. Порядок проведения указанных мероприятий определяется законом.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 мероприятиям, проведение которых должно соответствовать законодательству о массовых мероприятиях относится и пикетирование как публичное выражение общественно-политических, групповых, личных и иных интересов либо протеста (без шествия) не только группой граждан, но и одним гражданином.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Обращается внимание, что размещение гражданином незарегистрированной символики в виде бело-красно-белого флага для всеобщего обозрения, в том числе на окнах, балконах, зданиях является публичным выражением общественно-политических и иных интересов либо протеста.</w:t>
      </w:r>
    </w:p>
    <w:p w:rsidR="004615AB" w:rsidRPr="004615AB" w:rsidRDefault="004615AB" w:rsidP="007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этой связи при выборе пути выражения своей гражданской позиции граждане, прежде всего, должны соблюдать закон, быть рассудительными  и не поддаваться различного рода провокациям.</w:t>
      </w:r>
    </w:p>
    <w:p w:rsidR="007D078E" w:rsidRDefault="007D078E" w:rsidP="007D07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</w:p>
    <w:p w:rsidR="004615AB" w:rsidRPr="004615AB" w:rsidRDefault="004615AB" w:rsidP="007D078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615A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Прокурор Витебской области</w:t>
      </w:r>
      <w:r w:rsidRPr="004615A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br/>
        <w:t>государственный советник юстиции 3 класса</w:t>
      </w:r>
      <w:r w:rsidRPr="004615A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br/>
      </w:r>
      <w:proofErr w:type="spellStart"/>
      <w:r w:rsidRPr="004615A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В.В.Сущинский</w:t>
      </w:r>
      <w:proofErr w:type="spellEnd"/>
      <w:r w:rsidRPr="004615A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.</w:t>
      </w:r>
    </w:p>
    <w:p w:rsidR="0082294D" w:rsidRPr="007D078E" w:rsidRDefault="0082294D" w:rsidP="007D07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2294D" w:rsidRPr="007D078E" w:rsidSect="007D07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94D"/>
    <w:rsid w:val="004615AB"/>
    <w:rsid w:val="007D078E"/>
    <w:rsid w:val="0082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temdata">
    <w:name w:val="news_item_data"/>
    <w:basedOn w:val="a0"/>
    <w:rsid w:val="004615AB"/>
  </w:style>
  <w:style w:type="character" w:styleId="a3">
    <w:name w:val="Strong"/>
    <w:basedOn w:val="a0"/>
    <w:uiPriority w:val="22"/>
    <w:qFormat/>
    <w:rsid w:val="004615AB"/>
    <w:rPr>
      <w:b/>
      <w:bCs/>
    </w:rPr>
  </w:style>
  <w:style w:type="paragraph" w:styleId="a4">
    <w:name w:val="Normal (Web)"/>
    <w:basedOn w:val="a"/>
    <w:uiPriority w:val="99"/>
    <w:semiHidden/>
    <w:unhideWhenUsed/>
    <w:rsid w:val="0046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2021-03-22T10:37:00Z</dcterms:created>
  <dcterms:modified xsi:type="dcterms:W3CDTF">2021-03-22T10:37:00Z</dcterms:modified>
</cp:coreProperties>
</file>